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A91AE" w14:textId="1FD7AFD0" w:rsidR="00CF7F1D" w:rsidRPr="00CF7F1D" w:rsidRDefault="00CF7F1D" w:rsidP="00B50E2C">
      <w:pPr>
        <w:widowControl/>
        <w:spacing w:line="570" w:lineRule="atLeast"/>
        <w:jc w:val="center"/>
        <w:outlineLvl w:val="0"/>
        <w:rPr>
          <w:rFonts w:ascii="方正小标宋简体" w:eastAsia="方正小标宋简体" w:hAnsi="微软雅黑" w:cs="宋体"/>
          <w:b/>
          <w:bCs/>
          <w:color w:val="000000"/>
          <w:kern w:val="36"/>
          <w:sz w:val="44"/>
          <w:szCs w:val="44"/>
        </w:rPr>
      </w:pPr>
      <w:r w:rsidRPr="00CF7F1D">
        <w:rPr>
          <w:rFonts w:ascii="方正小标宋简体" w:eastAsia="方正小标宋简体" w:hAnsi="微软雅黑" w:cs="宋体" w:hint="eastAsia"/>
          <w:b/>
          <w:bCs/>
          <w:color w:val="000000"/>
          <w:kern w:val="36"/>
          <w:sz w:val="44"/>
          <w:szCs w:val="44"/>
        </w:rPr>
        <w:t>科技部 财政部关于印发《国家重点研发计划管理暂行办法》的通知</w:t>
      </w:r>
    </w:p>
    <w:p w14:paraId="5FB74880" w14:textId="77777777" w:rsidR="00CF7F1D" w:rsidRPr="00CF7F1D" w:rsidRDefault="00CF7F1D" w:rsidP="00CF7F1D">
      <w:pPr>
        <w:widowControl/>
        <w:spacing w:line="390" w:lineRule="atLeast"/>
        <w:jc w:val="center"/>
        <w:rPr>
          <w:rFonts w:ascii="仿宋_GB2312" w:eastAsia="仿宋_GB2312" w:hAnsi="宋体" w:cs="宋体"/>
          <w:color w:val="333333"/>
          <w:kern w:val="0"/>
          <w:sz w:val="28"/>
          <w:szCs w:val="28"/>
        </w:rPr>
      </w:pPr>
      <w:r w:rsidRPr="00CF7F1D">
        <w:rPr>
          <w:rFonts w:ascii="仿宋_GB2312" w:eastAsia="仿宋_GB2312" w:hAnsi="宋体" w:cs="宋体" w:hint="eastAsia"/>
          <w:color w:val="333333"/>
          <w:kern w:val="0"/>
          <w:sz w:val="28"/>
          <w:szCs w:val="28"/>
        </w:rPr>
        <w:t>国</w:t>
      </w:r>
      <w:proofErr w:type="gramStart"/>
      <w:r w:rsidRPr="00CF7F1D">
        <w:rPr>
          <w:rFonts w:ascii="仿宋_GB2312" w:eastAsia="仿宋_GB2312" w:hAnsi="宋体" w:cs="宋体" w:hint="eastAsia"/>
          <w:color w:val="333333"/>
          <w:kern w:val="0"/>
          <w:sz w:val="28"/>
          <w:szCs w:val="28"/>
        </w:rPr>
        <w:t>科发资〔2024〕</w:t>
      </w:r>
      <w:proofErr w:type="gramEnd"/>
      <w:r w:rsidRPr="00CF7F1D">
        <w:rPr>
          <w:rFonts w:ascii="仿宋_GB2312" w:eastAsia="仿宋_GB2312" w:hAnsi="宋体" w:cs="宋体" w:hint="eastAsia"/>
          <w:color w:val="333333"/>
          <w:kern w:val="0"/>
          <w:sz w:val="28"/>
          <w:szCs w:val="28"/>
        </w:rPr>
        <w:t>28号</w:t>
      </w:r>
    </w:p>
    <w:p w14:paraId="15653164" w14:textId="77777777" w:rsidR="00CF7F1D" w:rsidRPr="00CF7F1D" w:rsidRDefault="00CF7F1D" w:rsidP="00CF7F1D">
      <w:pPr>
        <w:widowControl/>
        <w:spacing w:line="390" w:lineRule="atLeast"/>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国务院有关部委、有关直属机构，各省、自治区、直辖市及计划单列市科技厅（委、局）、财政厅（局），新疆生产建设兵团科技局、财务局，有关单位：</w:t>
      </w:r>
    </w:p>
    <w:p w14:paraId="66248977"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根据党中央、国务院关于科技计划管理改革的有关要求，为规范国家重点研发计划管理，保障国家重点研发计划组织实施，现将修订后的《国家重点研发计划管理暂行办法》印发给你们，请遵照执行。</w:t>
      </w:r>
    </w:p>
    <w:p w14:paraId="22BA86A7" w14:textId="102A02A1" w:rsidR="00CF7F1D" w:rsidRPr="00CF7F1D" w:rsidRDefault="00CF7F1D" w:rsidP="00CF7F1D">
      <w:pPr>
        <w:widowControl/>
        <w:spacing w:line="390" w:lineRule="atLeast"/>
        <w:jc w:val="right"/>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科技部   财政部</w:t>
      </w:r>
    </w:p>
    <w:p w14:paraId="68CC8823" w14:textId="77777777" w:rsidR="00CF7F1D" w:rsidRPr="00CF7F1D" w:rsidRDefault="00CF7F1D" w:rsidP="00CF7F1D">
      <w:pPr>
        <w:widowControl/>
        <w:spacing w:line="390" w:lineRule="atLeast"/>
        <w:jc w:val="right"/>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2024年3月31日</w:t>
      </w:r>
    </w:p>
    <w:p w14:paraId="098F8DE5"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（此件主动公开）</w:t>
      </w:r>
    </w:p>
    <w:p w14:paraId="6343423C" w14:textId="77777777" w:rsidR="00CF7F1D" w:rsidRPr="00CF7F1D" w:rsidRDefault="00B50E2C" w:rsidP="00CF7F1D">
      <w:pPr>
        <w:widowControl/>
        <w:wordWrap w:val="0"/>
        <w:spacing w:line="450" w:lineRule="atLeast"/>
        <w:ind w:firstLine="480"/>
        <w:rPr>
          <w:rFonts w:ascii="宋体" w:eastAsia="宋体" w:hAnsi="宋体" w:cs="宋体"/>
          <w:color w:val="333333"/>
          <w:kern w:val="0"/>
          <w:sz w:val="32"/>
          <w:szCs w:val="32"/>
        </w:rPr>
      </w:pPr>
      <w:r>
        <w:rPr>
          <w:rFonts w:ascii="宋体" w:eastAsia="宋体" w:hAnsi="宋体" w:cs="宋体"/>
          <w:color w:val="333333"/>
          <w:kern w:val="0"/>
          <w:sz w:val="32"/>
          <w:szCs w:val="32"/>
        </w:rPr>
        <w:pict w14:anchorId="21B85ED3">
          <v:rect id="_x0000_i1025" style="width:0;height:1.5pt" o:hralign="center" o:hrstd="t" o:hr="t" fillcolor="#a0a0a0" stroked="f"/>
        </w:pict>
      </w:r>
    </w:p>
    <w:p w14:paraId="2650F2E8" w14:textId="77777777" w:rsidR="00CF7F1D" w:rsidRPr="00CF7F1D" w:rsidRDefault="00CF7F1D" w:rsidP="00CF7F1D">
      <w:pPr>
        <w:widowControl/>
        <w:spacing w:line="390" w:lineRule="atLeast"/>
        <w:jc w:val="center"/>
        <w:rPr>
          <w:rFonts w:ascii="黑体" w:eastAsia="黑体" w:hAnsi="黑体" w:cs="宋体"/>
          <w:color w:val="333333"/>
          <w:kern w:val="0"/>
          <w:sz w:val="32"/>
          <w:szCs w:val="32"/>
        </w:rPr>
      </w:pPr>
      <w:r w:rsidRPr="00CF7F1D">
        <w:rPr>
          <w:rFonts w:ascii="黑体" w:eastAsia="黑体" w:hAnsi="黑体" w:cs="宋体" w:hint="eastAsia"/>
          <w:color w:val="333333"/>
          <w:kern w:val="0"/>
          <w:sz w:val="32"/>
          <w:szCs w:val="32"/>
        </w:rPr>
        <w:t>国家重点研发计划管理暂行办法</w:t>
      </w:r>
    </w:p>
    <w:p w14:paraId="0A837278" w14:textId="77777777" w:rsidR="00CF7F1D" w:rsidRPr="00CF7F1D" w:rsidRDefault="00CF7F1D" w:rsidP="00CF7F1D">
      <w:pPr>
        <w:widowControl/>
        <w:spacing w:line="390" w:lineRule="atLeast"/>
        <w:jc w:val="center"/>
        <w:rPr>
          <w:rFonts w:ascii="黑体" w:eastAsia="黑体" w:hAnsi="黑体" w:cs="宋体"/>
          <w:color w:val="333333"/>
          <w:kern w:val="0"/>
          <w:sz w:val="32"/>
          <w:szCs w:val="32"/>
        </w:rPr>
      </w:pPr>
      <w:r w:rsidRPr="00CF7F1D">
        <w:rPr>
          <w:rFonts w:ascii="黑体" w:eastAsia="黑体" w:hAnsi="黑体" w:cs="宋体" w:hint="eastAsia"/>
          <w:color w:val="333333"/>
          <w:kern w:val="0"/>
          <w:sz w:val="32"/>
          <w:szCs w:val="32"/>
        </w:rPr>
        <w:t>第一章 总则</w:t>
      </w:r>
    </w:p>
    <w:p w14:paraId="6FCB244E"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第一条 为深入学习贯彻习近平新时代中国特色社会主义思想，落实党中央、国务院的决策部署，保证国家重点研发计划的顺利实施，实现高效、科学、规范和公正管理，按照国家科技重大项目立项管理等制度要求，制定本办法。</w:t>
      </w:r>
    </w:p>
    <w:p w14:paraId="5F3CC5CF"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lastRenderedPageBreak/>
        <w:t>第二条 国家重点研发计划坚持面向世界科技前沿、面向经济主战场、面向国家重大需求、面向人民生命健康，重点资助事关国计民生的重大社会公益性研究，事关产业核心竞争力、整体自主创新能力和国家安全的战略性、基础性、前瞻性重大科学问题、关键共性技术和产品研发，以及重大国际科技合作等，加强跨部门、跨行业、跨区域研发布局和协同创新，为国民经济和社会发展各主要领域提供持续性的支撑和引领。</w:t>
      </w:r>
    </w:p>
    <w:p w14:paraId="397D919B"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第三条 国家重点研发计划按照重点专项、项目分层次管理。重点专项是国家重点研发计划组织实施的载体，聚焦国家重大战略任务，坚持目标导向，可从基础研究、技术创新到成果转化、应用示范进行全链条创新设计、一体化组织实施。项目是重点专项组织实施的基本单元，应服务于重点专项目标，可根据需要下设一定数量的课题。</w:t>
      </w:r>
    </w:p>
    <w:p w14:paraId="2147C75E"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第四条 科技部负责重点专项动议征集凝练、总体布局、关键节点考核、监督评估和总体验收等。主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负责重点专项组织实施，对专项实施绩效负总责，委托并指导专业机构做好项目管理，根据实施需要建立跨部门协调机制。专业机构受主</w:t>
      </w:r>
      <w:proofErr w:type="gramStart"/>
      <w:r w:rsidRPr="00CF7F1D">
        <w:rPr>
          <w:rFonts w:ascii="仿宋_GB2312" w:eastAsia="仿宋_GB2312" w:hAnsi="宋体" w:cs="宋体" w:hint="eastAsia"/>
          <w:color w:val="333333"/>
          <w:kern w:val="0"/>
          <w:sz w:val="32"/>
          <w:szCs w:val="32"/>
        </w:rPr>
        <w:t>责</w:t>
      </w:r>
      <w:proofErr w:type="gramEnd"/>
      <w:r w:rsidRPr="00CF7F1D">
        <w:rPr>
          <w:rFonts w:ascii="仿宋_GB2312" w:eastAsia="仿宋_GB2312" w:hAnsi="宋体" w:cs="宋体" w:hint="eastAsia"/>
          <w:color w:val="333333"/>
          <w:kern w:val="0"/>
          <w:sz w:val="32"/>
          <w:szCs w:val="32"/>
        </w:rPr>
        <w:t>单位委托，承担项目申报受理、立项评审、过程管理、监督检查、综合绩效评价等具体工作，在项目管理方面向主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直接负责。项目承担单位负责项目的具体组织实施工作，强化法人责任。</w:t>
      </w:r>
    </w:p>
    <w:p w14:paraId="59B835BE"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lastRenderedPageBreak/>
        <w:t>第五条 国家重点研发计划组织实施遵循以下原则：</w:t>
      </w:r>
    </w:p>
    <w:p w14:paraId="0AF296A3"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需求导向、动态部署。瞄准国家目标，从各行业各领域重大现实紧迫需求出发，加强事关长远发展的战略前瞻布局，凝练提出亟待突破的科技瓶颈和问题，动态部署重点专项；对于突发、紧急的国家科技需求，建立快速设立专项的响应机制。</w:t>
      </w:r>
    </w:p>
    <w:p w14:paraId="1789B22D"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——充分授权、压实责任。重点专项组织实施向主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充分授权，发挥主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在行业需求凝练、政策标准制定、应用场景构建等方面的优势；建立权责一致的运行管理机制，压实各环节主体责任，确保专项的实施成效。</w:t>
      </w:r>
    </w:p>
    <w:p w14:paraId="18851C5A"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开放创新、协同攻关。放眼全国遴选优势科研团队，充分发挥国家战略科技力量的骨干作用，开展协同攻关；突出企业科技创新主体作用，促进产学研用深度融合；营造良好科技创新环境，充分激发创新活力。</w:t>
      </w:r>
    </w:p>
    <w:p w14:paraId="459D5E6B"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——目标管理、加快应用。围绕拟解决重大问题，明确任务目标，以重大标志性成果为牵引，实施全过程目标管理；加强关键节点考核，强化科技成果的“实战性”，加快形成现实生产力和产业竞争力。</w:t>
      </w:r>
    </w:p>
    <w:p w14:paraId="413C11C7"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第六条 国家重点研发计划全流程纳入统一的国家科技管理信息系统，包括指南发布、评审立项、资金使用、过程管理、综合绩效评价、成果转化应用等。落实国家科技报告、</w:t>
      </w:r>
      <w:r w:rsidRPr="00CF7F1D">
        <w:rPr>
          <w:rFonts w:ascii="仿宋_GB2312" w:eastAsia="仿宋_GB2312" w:hAnsi="宋体" w:cs="宋体" w:hint="eastAsia"/>
          <w:color w:val="333333"/>
          <w:kern w:val="0"/>
          <w:sz w:val="32"/>
          <w:szCs w:val="32"/>
        </w:rPr>
        <w:lastRenderedPageBreak/>
        <w:t>科学数据汇交和科技成果汇交制度，做好有关档案的整理、保存和归档。</w:t>
      </w:r>
    </w:p>
    <w:p w14:paraId="3882D024" w14:textId="77777777" w:rsidR="00CF7F1D" w:rsidRPr="00CF7F1D" w:rsidRDefault="00CF7F1D" w:rsidP="00CF7F1D">
      <w:pPr>
        <w:widowControl/>
        <w:spacing w:line="390" w:lineRule="atLeast"/>
        <w:jc w:val="center"/>
        <w:rPr>
          <w:rFonts w:ascii="黑体" w:eastAsia="黑体" w:hAnsi="黑体" w:cs="宋体"/>
          <w:color w:val="333333"/>
          <w:kern w:val="0"/>
          <w:sz w:val="32"/>
          <w:szCs w:val="32"/>
        </w:rPr>
      </w:pPr>
      <w:r w:rsidRPr="00CF7F1D">
        <w:rPr>
          <w:rFonts w:ascii="黑体" w:eastAsia="黑体" w:hAnsi="黑体" w:cs="宋体" w:hint="eastAsia"/>
          <w:b/>
          <w:bCs/>
          <w:color w:val="333333"/>
          <w:kern w:val="0"/>
          <w:sz w:val="32"/>
          <w:szCs w:val="32"/>
        </w:rPr>
        <w:t>第二章 重点专项设立</w:t>
      </w:r>
    </w:p>
    <w:p w14:paraId="0D77CE8C"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第七条 有关部门、机构、地方、企业等研究提出重点专项动议。科技部按照立项管理规程要求组织论证和综合平衡后，形成拟立项建议（含专项名称、主责单位、总体目标、实施周期等），按程序报批。对于需求紧迫的选题动议，按照快速响应、灵活部署的要求，采取“一事一议”的方式加快启动。</w:t>
      </w:r>
    </w:p>
    <w:p w14:paraId="483B7FB0"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第八条 对于批准实施的重点专项，主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牵头编制重点专项实施方案（含概算、专业机构），报科技部、财政部。</w:t>
      </w:r>
    </w:p>
    <w:p w14:paraId="2D9E70EF"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实施方案要围绕国家需求，聚焦专项拟解决的重大科学问题或要突破的关键共性技术，梳理形成问题清单和目标清单，合理部署基础研究、重大关键共性技术和成果转化等研发阶段的主要任务，并明确任务部署进度安排、预期重大标志性成果及考核要求，细化资源配置、配套保障、责任分工、成果转化及推广应用等举措。</w:t>
      </w:r>
    </w:p>
    <w:p w14:paraId="325F4D2D"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第九条 科技部、财政部组织对重点专项实施方案进行综合论证，着力提升专项目标指标先进性、任务部署科学性、组织实施可行性、资源配置合理性，优化考核方式、配套保障和管理举措，确保专项实施风险可控。实施方案经国家科技咨询</w:t>
      </w:r>
      <w:proofErr w:type="gramStart"/>
      <w:r w:rsidRPr="00CF7F1D">
        <w:rPr>
          <w:rFonts w:ascii="仿宋_GB2312" w:eastAsia="仿宋_GB2312" w:hAnsi="宋体" w:cs="宋体" w:hint="eastAsia"/>
          <w:color w:val="333333"/>
          <w:kern w:val="0"/>
          <w:sz w:val="32"/>
          <w:szCs w:val="32"/>
        </w:rPr>
        <w:t>委咨询</w:t>
      </w:r>
      <w:proofErr w:type="gramEnd"/>
      <w:r w:rsidRPr="00CF7F1D">
        <w:rPr>
          <w:rFonts w:ascii="仿宋_GB2312" w:eastAsia="仿宋_GB2312" w:hAnsi="宋体" w:cs="宋体" w:hint="eastAsia"/>
          <w:color w:val="333333"/>
          <w:kern w:val="0"/>
          <w:sz w:val="32"/>
          <w:szCs w:val="32"/>
        </w:rPr>
        <w:t>评议后，按程序报批。</w:t>
      </w:r>
    </w:p>
    <w:p w14:paraId="0D2094B6"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lastRenderedPageBreak/>
        <w:t>第十条 科技部向主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批复实施方案，作为重点专项任务分解、项目申报指南编制、项目安排、组织实施、监督检查、评估问效的基本依据。</w:t>
      </w:r>
    </w:p>
    <w:p w14:paraId="35F5CA08"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第十一条 根据任务特点和需要，重点专项可采取部门（机构）负责制、地方负责制、总</w:t>
      </w:r>
      <w:proofErr w:type="gramStart"/>
      <w:r w:rsidRPr="00CF7F1D">
        <w:rPr>
          <w:rFonts w:ascii="仿宋_GB2312" w:eastAsia="仿宋_GB2312" w:hAnsi="宋体" w:cs="宋体" w:hint="eastAsia"/>
          <w:color w:val="333333"/>
          <w:kern w:val="0"/>
          <w:sz w:val="32"/>
          <w:szCs w:val="32"/>
        </w:rPr>
        <w:t>承单位</w:t>
      </w:r>
      <w:proofErr w:type="gramEnd"/>
      <w:r w:rsidRPr="00CF7F1D">
        <w:rPr>
          <w:rFonts w:ascii="仿宋_GB2312" w:eastAsia="仿宋_GB2312" w:hAnsi="宋体" w:cs="宋体" w:hint="eastAsia"/>
          <w:color w:val="333333"/>
          <w:kern w:val="0"/>
          <w:sz w:val="32"/>
          <w:szCs w:val="32"/>
        </w:rPr>
        <w:t>负责制、业主单位负责制等多种模式。对于采取部门负责制的重点专项，主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应委托专业机构开展具体的项目管理，并与专业机构签订专项管理任务委托协议，明确委托的具体事项和管理要求；对于采取其他模式的重点专项，根据专项实施需要，参照有关要求建立健全项目过程管理工作机制。</w:t>
      </w:r>
    </w:p>
    <w:p w14:paraId="31546C6C" w14:textId="77777777" w:rsidR="00CF7F1D" w:rsidRPr="00CF7F1D" w:rsidRDefault="00CF7F1D" w:rsidP="00CF7F1D">
      <w:pPr>
        <w:widowControl/>
        <w:spacing w:line="390" w:lineRule="atLeast"/>
        <w:jc w:val="center"/>
        <w:rPr>
          <w:rFonts w:ascii="黑体" w:eastAsia="黑体" w:hAnsi="黑体" w:cs="宋体"/>
          <w:color w:val="333333"/>
          <w:kern w:val="0"/>
          <w:sz w:val="32"/>
          <w:szCs w:val="32"/>
        </w:rPr>
      </w:pPr>
      <w:r w:rsidRPr="00CF7F1D">
        <w:rPr>
          <w:rFonts w:ascii="黑体" w:eastAsia="黑体" w:hAnsi="黑体" w:cs="宋体" w:hint="eastAsia"/>
          <w:b/>
          <w:bCs/>
          <w:color w:val="333333"/>
          <w:kern w:val="0"/>
          <w:sz w:val="32"/>
          <w:szCs w:val="32"/>
        </w:rPr>
        <w:t>第三章 项目组织实施管理</w:t>
      </w:r>
    </w:p>
    <w:p w14:paraId="0ED04B12"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第十二条 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会同相关部门（单位）组织编制重点专项的年度项目申报指南。指南应充分遵循实施方案提出的总体目标和任务设置，避免交叉重复，明确形式审查条件和项目遴选方式。项目应相对独立完整，体量适度，设立可考核可评估的具体指标。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依托国家科技</w:t>
      </w:r>
      <w:proofErr w:type="gramStart"/>
      <w:r w:rsidRPr="00CF7F1D">
        <w:rPr>
          <w:rFonts w:ascii="仿宋_GB2312" w:eastAsia="仿宋_GB2312" w:hAnsi="宋体" w:cs="宋体" w:hint="eastAsia"/>
          <w:color w:val="333333"/>
          <w:kern w:val="0"/>
          <w:sz w:val="32"/>
          <w:szCs w:val="32"/>
        </w:rPr>
        <w:t>管理信息系统查重后</w:t>
      </w:r>
      <w:proofErr w:type="gramEnd"/>
      <w:r w:rsidRPr="00CF7F1D">
        <w:rPr>
          <w:rFonts w:ascii="仿宋_GB2312" w:eastAsia="仿宋_GB2312" w:hAnsi="宋体" w:cs="宋体" w:hint="eastAsia"/>
          <w:color w:val="333333"/>
          <w:kern w:val="0"/>
          <w:sz w:val="32"/>
          <w:szCs w:val="32"/>
        </w:rPr>
        <w:t>发布指南，并合理安排发布时间。</w:t>
      </w:r>
    </w:p>
    <w:p w14:paraId="67DCB13A"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第十三条 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要结合专项特点和实施需要，加强组织实施机制创新，通过竞争择优、定向委托、分阶段滚动支持等多种项目遴选方式，在全国范围内择优确定项目承担单位，可采取“揭榜挂帅”、“赛马制”、“链主制”、青年科学家项目、长周期项目等组织模式，通过第三方测试、真</w:t>
      </w:r>
      <w:r w:rsidRPr="00CF7F1D">
        <w:rPr>
          <w:rFonts w:ascii="仿宋_GB2312" w:eastAsia="仿宋_GB2312" w:hAnsi="宋体" w:cs="宋体" w:hint="eastAsia"/>
          <w:color w:val="333333"/>
          <w:kern w:val="0"/>
          <w:sz w:val="32"/>
          <w:szCs w:val="32"/>
        </w:rPr>
        <w:lastRenderedPageBreak/>
        <w:t>实应用场景考核等方式，推动产学研用深度融合，提升项目组织实施绩效。</w:t>
      </w:r>
    </w:p>
    <w:p w14:paraId="1887E70C"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第十四条 项目承担单位原则上为在中国大陆境内注册满1年的独立法人单位，应具有较强科研能力和条件，诚信状况良好；项目（课题）负责人原则上不超过60周岁，符合《科技部办公厅 财政部办公厅 自然科学基金委办公室关于进一步加强统筹国家科技计划项目立项管理工作的通知》有关限项要求。</w:t>
      </w:r>
    </w:p>
    <w:p w14:paraId="30B77D32"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第十五条 专业机构根据指南要求开展项目申报受理，加强科研诚信审核，采用网络评审、通讯评审、会议评审、同场竞技、现场考察评估等方式组织评审。</w:t>
      </w:r>
    </w:p>
    <w:p w14:paraId="0A4AA5BC"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第十六条 项目评审专家应是在相关领域具有丰富经验、客观公正的高水平专家，原则上从国家科技专家库中选取，并实行回避制度。通过事前诚信审查、事中提醒监督、事后抽查评价等方式，从严管理和使用评审专家。</w:t>
      </w:r>
    </w:p>
    <w:p w14:paraId="6CC4C41B"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第十七条 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负责立项批复，并组织专业机构与项目承担单位签订项目任务书；对于保密项目，任务书中应包括保密协议。项目立项后，应按任务书约定、项目实施进展和任务完成情况及时向项目承担单位拨款。</w:t>
      </w:r>
    </w:p>
    <w:p w14:paraId="53A44375"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第十八条 项目承担单位应根据项目任务书确定的目标任务和分工安排，按进度高质量完成相关研发任务。项目实施中，主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应指导专业机构严格按照任务书要求，加强</w:t>
      </w:r>
      <w:r w:rsidRPr="00CF7F1D">
        <w:rPr>
          <w:rFonts w:ascii="仿宋_GB2312" w:eastAsia="仿宋_GB2312" w:hAnsi="宋体" w:cs="宋体" w:hint="eastAsia"/>
          <w:color w:val="333333"/>
          <w:kern w:val="0"/>
          <w:sz w:val="32"/>
          <w:szCs w:val="32"/>
        </w:rPr>
        <w:lastRenderedPageBreak/>
        <w:t>技术就绪度管理、“里程碑”节点考核等，做好项目过程管理。</w:t>
      </w:r>
    </w:p>
    <w:p w14:paraId="5FBCBEE3"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第十九条 项目实施中须</w:t>
      </w:r>
      <w:proofErr w:type="gramStart"/>
      <w:r w:rsidRPr="00CF7F1D">
        <w:rPr>
          <w:rFonts w:ascii="仿宋_GB2312" w:eastAsia="仿宋_GB2312" w:hAnsi="宋体" w:cs="宋体" w:hint="eastAsia"/>
          <w:color w:val="333333"/>
          <w:kern w:val="0"/>
          <w:sz w:val="32"/>
          <w:szCs w:val="32"/>
        </w:rPr>
        <w:t>作出</w:t>
      </w:r>
      <w:proofErr w:type="gramEnd"/>
      <w:r w:rsidRPr="00CF7F1D">
        <w:rPr>
          <w:rFonts w:ascii="仿宋_GB2312" w:eastAsia="仿宋_GB2312" w:hAnsi="宋体" w:cs="宋体" w:hint="eastAsia"/>
          <w:color w:val="333333"/>
          <w:kern w:val="0"/>
          <w:sz w:val="32"/>
          <w:szCs w:val="32"/>
        </w:rPr>
        <w:t>重大调整的，由主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会同专业机构研究批复调整；对于因非正当理由致使项目撤销或终止的，应调查核实后严肃处理并</w:t>
      </w:r>
      <w:proofErr w:type="gramStart"/>
      <w:r w:rsidRPr="00CF7F1D">
        <w:rPr>
          <w:rFonts w:ascii="仿宋_GB2312" w:eastAsia="仿宋_GB2312" w:hAnsi="宋体" w:cs="宋体" w:hint="eastAsia"/>
          <w:color w:val="333333"/>
          <w:kern w:val="0"/>
          <w:sz w:val="32"/>
          <w:szCs w:val="32"/>
        </w:rPr>
        <w:t>逐级问</w:t>
      </w:r>
      <w:proofErr w:type="gramEnd"/>
      <w:r w:rsidRPr="00CF7F1D">
        <w:rPr>
          <w:rFonts w:ascii="仿宋_GB2312" w:eastAsia="仿宋_GB2312" w:hAnsi="宋体" w:cs="宋体" w:hint="eastAsia"/>
          <w:color w:val="333333"/>
          <w:kern w:val="0"/>
          <w:sz w:val="32"/>
          <w:szCs w:val="32"/>
        </w:rPr>
        <w:t>责，对科研失信和违规行为，纳入科研诚信记录。</w:t>
      </w:r>
    </w:p>
    <w:p w14:paraId="66F3ED12"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第二十条 项目执行期满6个月内，主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组织专业机构依据项目任务书和有关要求分类开展综合绩效评价，由主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向项目承担单位下达综合绩效评价结论。项目综合绩效评价结论分为通过、未通过两类。项目综合绩效评价应突出目标导向、成果导向，注重核心目标和代表性成果，严把项目验收关。</w:t>
      </w:r>
    </w:p>
    <w:p w14:paraId="36DAA6E1"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第二十一条 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应充分发挥相关领域、行业、产业优势，为项目成果转化应用创造良好条件，协调调动各方面政策和资源，通过场景构建、政府采购、金融支持等方式，加快推动项目成果转化应用和产品迭代升级。科技部会同主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在项目验收3年内组织对成果转化应用情况进行跟踪评价。</w:t>
      </w:r>
    </w:p>
    <w:p w14:paraId="7D40C952"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第二十二条 专业机构应持续加强专业化能力建设，加强相关领域科技发展跟踪</w:t>
      </w:r>
      <w:proofErr w:type="gramStart"/>
      <w:r w:rsidRPr="00CF7F1D">
        <w:rPr>
          <w:rFonts w:ascii="仿宋_GB2312" w:eastAsia="仿宋_GB2312" w:hAnsi="宋体" w:cs="宋体" w:hint="eastAsia"/>
          <w:color w:val="333333"/>
          <w:kern w:val="0"/>
          <w:sz w:val="32"/>
          <w:szCs w:val="32"/>
        </w:rPr>
        <w:t>研</w:t>
      </w:r>
      <w:proofErr w:type="gramEnd"/>
      <w:r w:rsidRPr="00CF7F1D">
        <w:rPr>
          <w:rFonts w:ascii="仿宋_GB2312" w:eastAsia="仿宋_GB2312" w:hAnsi="宋体" w:cs="宋体" w:hint="eastAsia"/>
          <w:color w:val="333333"/>
          <w:kern w:val="0"/>
          <w:sz w:val="32"/>
          <w:szCs w:val="32"/>
        </w:rPr>
        <w:t>判；根据管理制度和主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要求，制定适合专项特点的管理工作方案，做好项目管理具体工作，提升项目管理质量，促进重大成果产出和应用推广；加强对</w:t>
      </w:r>
      <w:r w:rsidRPr="00CF7F1D">
        <w:rPr>
          <w:rFonts w:ascii="仿宋_GB2312" w:eastAsia="仿宋_GB2312" w:hAnsi="宋体" w:cs="宋体" w:hint="eastAsia"/>
          <w:color w:val="333333"/>
          <w:kern w:val="0"/>
          <w:sz w:val="32"/>
          <w:szCs w:val="32"/>
        </w:rPr>
        <w:lastRenderedPageBreak/>
        <w:t>参与项目管理活动各类专家的指导与监督，促进项目管理的公平公正。</w:t>
      </w:r>
    </w:p>
    <w:p w14:paraId="397848D9" w14:textId="77777777" w:rsidR="00CF7F1D" w:rsidRPr="00CF7F1D" w:rsidRDefault="00CF7F1D" w:rsidP="00CF7F1D">
      <w:pPr>
        <w:widowControl/>
        <w:spacing w:line="390" w:lineRule="atLeast"/>
        <w:jc w:val="center"/>
        <w:rPr>
          <w:rFonts w:ascii="黑体" w:eastAsia="黑体" w:hAnsi="黑体" w:cs="宋体"/>
          <w:color w:val="333333"/>
          <w:kern w:val="0"/>
          <w:sz w:val="32"/>
          <w:szCs w:val="32"/>
        </w:rPr>
      </w:pPr>
      <w:r w:rsidRPr="00CF7F1D">
        <w:rPr>
          <w:rFonts w:ascii="黑体" w:eastAsia="黑体" w:hAnsi="黑体" w:cs="宋体" w:hint="eastAsia"/>
          <w:b/>
          <w:bCs/>
          <w:color w:val="333333"/>
          <w:kern w:val="0"/>
          <w:sz w:val="32"/>
          <w:szCs w:val="32"/>
        </w:rPr>
        <w:t>第四章 重点专项管理和总结验收</w:t>
      </w:r>
    </w:p>
    <w:p w14:paraId="568F82A0"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第二十三条 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会同专业机构按年度编制重点专项执行情况报告，于每年12月底前报送科技部；执行期5年及以上的重点专项，于专项实施中期年份报送中期执行情况报告。</w:t>
      </w:r>
    </w:p>
    <w:p w14:paraId="5A930D23"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第二十四条 重点专项执行期间，由于形势变化或实施需要，需对专项主要任务（含概算）进行重大调整或终止专项执行的，主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报科技部、财政部审核，按程序报批。</w:t>
      </w:r>
    </w:p>
    <w:p w14:paraId="566BEFD3"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第二十五条 重点专项执行期结束后，主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会同专业机构对重点专项实施情况进行总结，于专项执行期结束6个月内形成重点专项总结报告报科技部。</w:t>
      </w:r>
    </w:p>
    <w:p w14:paraId="05DC5204"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第二十六条 科技部会同财政部组织开展重点专项总体验收工作，对重点专项的目标实现程度、组织管理水平、支撑经济社会发展效果与影响等</w:t>
      </w:r>
      <w:proofErr w:type="gramStart"/>
      <w:r w:rsidRPr="00CF7F1D">
        <w:rPr>
          <w:rFonts w:ascii="仿宋_GB2312" w:eastAsia="仿宋_GB2312" w:hAnsi="宋体" w:cs="宋体" w:hint="eastAsia"/>
          <w:color w:val="333333"/>
          <w:kern w:val="0"/>
          <w:sz w:val="32"/>
          <w:szCs w:val="32"/>
        </w:rPr>
        <w:t>作出</w:t>
      </w:r>
      <w:proofErr w:type="gramEnd"/>
      <w:r w:rsidRPr="00CF7F1D">
        <w:rPr>
          <w:rFonts w:ascii="仿宋_GB2312" w:eastAsia="仿宋_GB2312" w:hAnsi="宋体" w:cs="宋体" w:hint="eastAsia"/>
          <w:color w:val="333333"/>
          <w:kern w:val="0"/>
          <w:sz w:val="32"/>
          <w:szCs w:val="32"/>
        </w:rPr>
        <w:t>全面评价，形成重点专项总体验收评价报告，按程序上报。重点专项总体验收评价情况将作为专项滚动实施、新设专项遴选主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和专业机构等方面的重要参考。</w:t>
      </w:r>
    </w:p>
    <w:p w14:paraId="70430731"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专项验收坚持成果导向，重点突出对重大标志性成果及成果转化应用情况等方面的评价，采取测试平台验证、真实</w:t>
      </w:r>
      <w:r w:rsidRPr="00CF7F1D">
        <w:rPr>
          <w:rFonts w:ascii="仿宋_GB2312" w:eastAsia="仿宋_GB2312" w:hAnsi="宋体" w:cs="宋体" w:hint="eastAsia"/>
          <w:color w:val="333333"/>
          <w:kern w:val="0"/>
          <w:sz w:val="32"/>
          <w:szCs w:val="32"/>
        </w:rPr>
        <w:lastRenderedPageBreak/>
        <w:t>应用场景考核、用户单位考核等方式，强化验收评价的客观性、针对性和科学性。</w:t>
      </w:r>
    </w:p>
    <w:p w14:paraId="5677D54A"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第二十七条 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应加强重点专项的保密制度建设，完善保密工作责任体系，对涉及科技敏感信息和国家秘密的专项项目及其成果，应按有关规定执行并严格管理，分级分类做好信息安全管理，确保国家秘密安全。</w:t>
      </w:r>
    </w:p>
    <w:p w14:paraId="4E3E66B4"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第二十八条 重点</w:t>
      </w:r>
      <w:proofErr w:type="gramStart"/>
      <w:r w:rsidRPr="00CF7F1D">
        <w:rPr>
          <w:rFonts w:ascii="仿宋_GB2312" w:eastAsia="仿宋_GB2312" w:hAnsi="宋体" w:cs="宋体" w:hint="eastAsia"/>
          <w:color w:val="333333"/>
          <w:kern w:val="0"/>
          <w:sz w:val="32"/>
          <w:szCs w:val="32"/>
        </w:rPr>
        <w:t>专项形成</w:t>
      </w:r>
      <w:proofErr w:type="gramEnd"/>
      <w:r w:rsidRPr="00CF7F1D">
        <w:rPr>
          <w:rFonts w:ascii="仿宋_GB2312" w:eastAsia="仿宋_GB2312" w:hAnsi="宋体" w:cs="宋体" w:hint="eastAsia"/>
          <w:color w:val="333333"/>
          <w:kern w:val="0"/>
          <w:sz w:val="32"/>
          <w:szCs w:val="32"/>
        </w:rPr>
        <w:t>的知识产权归属、使用和转移，按照国家有关法律、法规和政策执行。为了国家安全、国家利益和重大社会公共利益的需要，国家可许可他人有偿实施或者无偿实施项目形成的知识产权。项目形成的研究成果，应标注“国家重点研发计划资助”字样及项目编号，英文标注：“National Key R&amp;D Program of China”。</w:t>
      </w:r>
    </w:p>
    <w:p w14:paraId="4AF6D3AB" w14:textId="77777777" w:rsidR="00CF7F1D" w:rsidRPr="00CF7F1D" w:rsidRDefault="00CF7F1D" w:rsidP="00CF7F1D">
      <w:pPr>
        <w:widowControl/>
        <w:spacing w:line="390" w:lineRule="atLeast"/>
        <w:jc w:val="center"/>
        <w:rPr>
          <w:rFonts w:ascii="黑体" w:eastAsia="黑体" w:hAnsi="黑体" w:cs="宋体"/>
          <w:color w:val="333333"/>
          <w:kern w:val="0"/>
          <w:sz w:val="32"/>
          <w:szCs w:val="32"/>
        </w:rPr>
      </w:pPr>
      <w:r w:rsidRPr="00CF7F1D">
        <w:rPr>
          <w:rFonts w:ascii="黑体" w:eastAsia="黑体" w:hAnsi="黑体" w:cs="宋体" w:hint="eastAsia"/>
          <w:b/>
          <w:bCs/>
          <w:color w:val="333333"/>
          <w:kern w:val="0"/>
          <w:sz w:val="32"/>
          <w:szCs w:val="32"/>
        </w:rPr>
        <w:t>第五章 多元化投入与资金管理</w:t>
      </w:r>
    </w:p>
    <w:p w14:paraId="7A231D83"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第二十九条 坚持多元化原则筹措资金，在中央财政资金支持的基础上，</w:t>
      </w:r>
      <w:proofErr w:type="gramStart"/>
      <w:r w:rsidRPr="00CF7F1D">
        <w:rPr>
          <w:rFonts w:ascii="仿宋_GB2312" w:eastAsia="仿宋_GB2312" w:hAnsi="宋体" w:cs="宋体" w:hint="eastAsia"/>
          <w:color w:val="333333"/>
          <w:kern w:val="0"/>
          <w:sz w:val="32"/>
          <w:szCs w:val="32"/>
        </w:rPr>
        <w:t>加强央地联动</w:t>
      </w:r>
      <w:proofErr w:type="gramEnd"/>
      <w:r w:rsidRPr="00CF7F1D">
        <w:rPr>
          <w:rFonts w:ascii="仿宋_GB2312" w:eastAsia="仿宋_GB2312" w:hAnsi="宋体" w:cs="宋体" w:hint="eastAsia"/>
          <w:color w:val="333333"/>
          <w:kern w:val="0"/>
          <w:sz w:val="32"/>
          <w:szCs w:val="32"/>
        </w:rPr>
        <w:t>、政企联动，引导地方、企业、金融资本及其他社会资金共同投入，支持相关部门和机构加强对承担相关项目的科技型企业全生命周期、全链条科技金融服务。</w:t>
      </w:r>
    </w:p>
    <w:p w14:paraId="303014FD"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第三十条 按照“放管结合、权责对等”的原则，采取简化预算编制、下放预算调剂权、实行“包干制”“负面清单”等多种方式，扩大科研经费管理自主权，减轻科研人员事务性负担，激发创新活力。</w:t>
      </w:r>
    </w:p>
    <w:p w14:paraId="3FA2050D"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lastRenderedPageBreak/>
        <w:t>第三十一条 国家重点研发计划通过前补助、后补助、“里程碑”拨款等方式对具体项目分类支持。中央财政资金的安排使用，要严格执行国家预算管理及财政国库管理的有关规定，全面实施预算绩效管理，实行专账管理，专款专用，建立覆盖资金管理使用全过程的资金监督机制，提高资金使用效益。项目经费使用中涉及政府采购的，应当按政府采购法律制度规定执行。</w:t>
      </w:r>
    </w:p>
    <w:p w14:paraId="45A8A714"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国家重点研发计划资金管理办法由财政部会同有关部门制定。</w:t>
      </w:r>
    </w:p>
    <w:p w14:paraId="721E7E8F" w14:textId="77777777" w:rsidR="00CF7F1D" w:rsidRPr="00CF7F1D" w:rsidRDefault="00CF7F1D" w:rsidP="00CF7F1D">
      <w:pPr>
        <w:widowControl/>
        <w:spacing w:line="390" w:lineRule="atLeast"/>
        <w:jc w:val="center"/>
        <w:rPr>
          <w:rFonts w:ascii="黑体" w:eastAsia="黑体" w:hAnsi="黑体" w:cs="宋体"/>
          <w:color w:val="333333"/>
          <w:kern w:val="0"/>
          <w:sz w:val="32"/>
          <w:szCs w:val="32"/>
        </w:rPr>
      </w:pPr>
      <w:r w:rsidRPr="00CF7F1D">
        <w:rPr>
          <w:rFonts w:ascii="黑体" w:eastAsia="黑体" w:hAnsi="黑体" w:cs="宋体" w:hint="eastAsia"/>
          <w:b/>
          <w:bCs/>
          <w:color w:val="333333"/>
          <w:kern w:val="0"/>
          <w:sz w:val="32"/>
          <w:szCs w:val="32"/>
        </w:rPr>
        <w:t>第六章 监督与评估</w:t>
      </w:r>
    </w:p>
    <w:p w14:paraId="16EA1B0E"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第三十二条 国家重点研发计划建立全过程、多层次、嵌入式的监督评估体系。监督评估工作应以重点专项实施方案、项目申报指南、立项批复、任务书、协议等为依据，按照责权一致的原则组织开展。</w:t>
      </w:r>
    </w:p>
    <w:p w14:paraId="2E1C992A"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第三十三条 科技部、财政部通过对重点专项的关键节点考核、随机抽查等方式，对专项组织实施情况和实施主体履职尽责情况进行监督评估，采用信息化手段，减轻科研人员负担。监督评估结论和意见及时向主责单位、专业机构进行反馈，重大事项按程序上报。</w:t>
      </w:r>
    </w:p>
    <w:p w14:paraId="1A2CB920"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第三十四条 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对重点专项实施过程和进展进行监督评估，对受委托专业机构管理工作进行监督。专业机构对项目执行情况和项目承担单位开展日常监督。主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会</w:t>
      </w:r>
      <w:r w:rsidRPr="00CF7F1D">
        <w:rPr>
          <w:rFonts w:ascii="仿宋_GB2312" w:eastAsia="仿宋_GB2312" w:hAnsi="宋体" w:cs="宋体" w:hint="eastAsia"/>
          <w:color w:val="333333"/>
          <w:kern w:val="0"/>
          <w:sz w:val="32"/>
          <w:szCs w:val="32"/>
        </w:rPr>
        <w:lastRenderedPageBreak/>
        <w:t>同专业机构建立公众参与监督的工作机制，加强与审计监督、第三方监督等外部监督协同，并落实科技伦理监管制度。</w:t>
      </w:r>
    </w:p>
    <w:p w14:paraId="40C6C46F"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第三十五条 建立创新激励机制和责任追究机制。对在专项组织实施过程中</w:t>
      </w:r>
      <w:proofErr w:type="gramStart"/>
      <w:r w:rsidRPr="00CF7F1D">
        <w:rPr>
          <w:rFonts w:ascii="仿宋_GB2312" w:eastAsia="仿宋_GB2312" w:hAnsi="宋体" w:cs="宋体" w:hint="eastAsia"/>
          <w:color w:val="333333"/>
          <w:kern w:val="0"/>
          <w:sz w:val="32"/>
          <w:szCs w:val="32"/>
        </w:rPr>
        <w:t>作出</w:t>
      </w:r>
      <w:proofErr w:type="gramEnd"/>
      <w:r w:rsidRPr="00CF7F1D">
        <w:rPr>
          <w:rFonts w:ascii="仿宋_GB2312" w:eastAsia="仿宋_GB2312" w:hAnsi="宋体" w:cs="宋体" w:hint="eastAsia"/>
          <w:color w:val="333333"/>
          <w:kern w:val="0"/>
          <w:sz w:val="32"/>
          <w:szCs w:val="32"/>
        </w:rPr>
        <w:t>重要贡献的单位、团队和个人，按照国家有关规定予以表彰奖励。对执行不力的，实行动态调整，并倒查各主体责任，</w:t>
      </w:r>
      <w:proofErr w:type="gramStart"/>
      <w:r w:rsidRPr="00CF7F1D">
        <w:rPr>
          <w:rFonts w:ascii="仿宋_GB2312" w:eastAsia="仿宋_GB2312" w:hAnsi="宋体" w:cs="宋体" w:hint="eastAsia"/>
          <w:color w:val="333333"/>
          <w:kern w:val="0"/>
          <w:sz w:val="32"/>
          <w:szCs w:val="32"/>
        </w:rPr>
        <w:t>逐级问</w:t>
      </w:r>
      <w:proofErr w:type="gramEnd"/>
      <w:r w:rsidRPr="00CF7F1D">
        <w:rPr>
          <w:rFonts w:ascii="仿宋_GB2312" w:eastAsia="仿宋_GB2312" w:hAnsi="宋体" w:cs="宋体" w:hint="eastAsia"/>
          <w:color w:val="333333"/>
          <w:kern w:val="0"/>
          <w:sz w:val="32"/>
          <w:szCs w:val="32"/>
        </w:rPr>
        <w:t>责。对科研失信和违规行为，视情况纳入科研诚信严重失信行为数据库，依法依规严肃处理。涉嫌违纪违法的，移送有关部门。</w:t>
      </w:r>
    </w:p>
    <w:p w14:paraId="246ABEED" w14:textId="77777777" w:rsidR="00CF7F1D" w:rsidRPr="00CF7F1D" w:rsidRDefault="00CF7F1D" w:rsidP="00CF7F1D">
      <w:pPr>
        <w:widowControl/>
        <w:spacing w:line="390" w:lineRule="atLeast"/>
        <w:jc w:val="center"/>
        <w:rPr>
          <w:rFonts w:ascii="黑体" w:eastAsia="黑体" w:hAnsi="黑体" w:cs="宋体"/>
          <w:color w:val="333333"/>
          <w:kern w:val="0"/>
          <w:sz w:val="32"/>
          <w:szCs w:val="32"/>
        </w:rPr>
      </w:pPr>
      <w:r w:rsidRPr="00CF7F1D">
        <w:rPr>
          <w:rFonts w:ascii="黑体" w:eastAsia="黑体" w:hAnsi="黑体" w:cs="宋体" w:hint="eastAsia"/>
          <w:b/>
          <w:bCs/>
          <w:color w:val="333333"/>
          <w:kern w:val="0"/>
          <w:sz w:val="32"/>
          <w:szCs w:val="32"/>
        </w:rPr>
        <w:t>第七章 附 则</w:t>
      </w:r>
    </w:p>
    <w:p w14:paraId="2E2B5374"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第三十六条 各主</w:t>
      </w:r>
      <w:proofErr w:type="gramStart"/>
      <w:r w:rsidRPr="00CF7F1D">
        <w:rPr>
          <w:rFonts w:ascii="仿宋_GB2312" w:eastAsia="仿宋_GB2312" w:hAnsi="宋体" w:cs="宋体" w:hint="eastAsia"/>
          <w:color w:val="333333"/>
          <w:kern w:val="0"/>
          <w:sz w:val="32"/>
          <w:szCs w:val="32"/>
        </w:rPr>
        <w:t>责单位</w:t>
      </w:r>
      <w:proofErr w:type="gramEnd"/>
      <w:r w:rsidRPr="00CF7F1D">
        <w:rPr>
          <w:rFonts w:ascii="仿宋_GB2312" w:eastAsia="仿宋_GB2312" w:hAnsi="宋体" w:cs="宋体" w:hint="eastAsia"/>
          <w:color w:val="333333"/>
          <w:kern w:val="0"/>
          <w:sz w:val="32"/>
          <w:szCs w:val="32"/>
        </w:rPr>
        <w:t>依据本办法制定实施细则，发布前报科技部、财政部进行制度一致性审查并备案。管理要求另有规定的重点专项，按有关规定执行。</w:t>
      </w:r>
    </w:p>
    <w:p w14:paraId="4F2D5C4F" w14:textId="77777777" w:rsidR="00CF7F1D"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第三十七条 对于地方、单位、企业等聚焦国家重大战略需求布局的研发任务，可按有关程序纳入国家重点研发计划管理。具体办法另行规定。</w:t>
      </w:r>
    </w:p>
    <w:p w14:paraId="4825BD9E" w14:textId="1261FCDA" w:rsidR="002A31D8" w:rsidRPr="00CF7F1D" w:rsidRDefault="00CF7F1D" w:rsidP="00CF7F1D">
      <w:pPr>
        <w:widowControl/>
        <w:wordWrap w:val="0"/>
        <w:spacing w:line="450" w:lineRule="atLeast"/>
        <w:ind w:firstLine="480"/>
        <w:rPr>
          <w:rFonts w:ascii="仿宋_GB2312" w:eastAsia="仿宋_GB2312" w:hAnsi="宋体" w:cs="宋体"/>
          <w:color w:val="333333"/>
          <w:kern w:val="0"/>
          <w:sz w:val="32"/>
          <w:szCs w:val="32"/>
        </w:rPr>
      </w:pPr>
      <w:r w:rsidRPr="00CF7F1D">
        <w:rPr>
          <w:rFonts w:ascii="仿宋_GB2312" w:eastAsia="仿宋_GB2312" w:hAnsi="宋体" w:cs="宋体" w:hint="eastAsia"/>
          <w:color w:val="333333"/>
          <w:kern w:val="0"/>
          <w:sz w:val="32"/>
          <w:szCs w:val="32"/>
        </w:rPr>
        <w:t>本办法自发布之日起施行。《国家重点研发计划管理暂行办法》（国</w:t>
      </w:r>
      <w:proofErr w:type="gramStart"/>
      <w:r w:rsidRPr="00CF7F1D">
        <w:rPr>
          <w:rFonts w:ascii="仿宋_GB2312" w:eastAsia="仿宋_GB2312" w:hAnsi="宋体" w:cs="宋体" w:hint="eastAsia"/>
          <w:color w:val="333333"/>
          <w:kern w:val="0"/>
          <w:sz w:val="32"/>
          <w:szCs w:val="32"/>
        </w:rPr>
        <w:t>科发资〔2017〕</w:t>
      </w:r>
      <w:proofErr w:type="gramEnd"/>
      <w:r w:rsidRPr="00CF7F1D">
        <w:rPr>
          <w:rFonts w:ascii="仿宋_GB2312" w:eastAsia="仿宋_GB2312" w:hAnsi="宋体" w:cs="宋体" w:hint="eastAsia"/>
          <w:color w:val="333333"/>
          <w:kern w:val="0"/>
          <w:sz w:val="32"/>
          <w:szCs w:val="32"/>
        </w:rPr>
        <w:t>152号）同时废止。</w:t>
      </w:r>
    </w:p>
    <w:sectPr w:rsidR="002A31D8" w:rsidRPr="00CF7F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7697A"/>
    <w:rsid w:val="004D4DA8"/>
    <w:rsid w:val="00663E68"/>
    <w:rsid w:val="006C3745"/>
    <w:rsid w:val="007F6D04"/>
    <w:rsid w:val="00B50E2C"/>
    <w:rsid w:val="00CF7F1D"/>
    <w:rsid w:val="00E7697A"/>
    <w:rsid w:val="00FB5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4C29B"/>
  <w15:chartTrackingRefBased/>
  <w15:docId w15:val="{CFCA3440-ECB1-4B7D-84CC-830924458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CF7F1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F7F1D"/>
    <w:rPr>
      <w:rFonts w:ascii="宋体" w:eastAsia="宋体" w:hAnsi="宋体" w:cs="宋体"/>
      <w:b/>
      <w:bCs/>
      <w:kern w:val="36"/>
      <w:sz w:val="48"/>
      <w:szCs w:val="48"/>
    </w:rPr>
  </w:style>
  <w:style w:type="paragraph" w:customStyle="1" w:styleId="articlesubtitle">
    <w:name w:val="article__subtitle"/>
    <w:basedOn w:val="a"/>
    <w:rsid w:val="00CF7F1D"/>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CF7F1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F7F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29821">
      <w:bodyDiv w:val="1"/>
      <w:marLeft w:val="0"/>
      <w:marRight w:val="0"/>
      <w:marTop w:val="0"/>
      <w:marBottom w:val="0"/>
      <w:divBdr>
        <w:top w:val="none" w:sz="0" w:space="0" w:color="auto"/>
        <w:left w:val="none" w:sz="0" w:space="0" w:color="auto"/>
        <w:bottom w:val="none" w:sz="0" w:space="0" w:color="auto"/>
        <w:right w:val="none" w:sz="0" w:space="0" w:color="auto"/>
      </w:divBdr>
      <w:divsChild>
        <w:div w:id="1832452616">
          <w:marLeft w:val="0"/>
          <w:marRight w:val="0"/>
          <w:marTop w:val="0"/>
          <w:marBottom w:val="0"/>
          <w:divBdr>
            <w:top w:val="none" w:sz="0" w:space="0" w:color="auto"/>
            <w:left w:val="none" w:sz="0" w:space="0" w:color="auto"/>
            <w:bottom w:val="none" w:sz="0" w:space="0" w:color="auto"/>
            <w:right w:val="none" w:sz="0" w:space="0" w:color="auto"/>
          </w:divBdr>
          <w:divsChild>
            <w:div w:id="2098555257">
              <w:marLeft w:val="0"/>
              <w:marRight w:val="0"/>
              <w:marTop w:val="0"/>
              <w:marBottom w:val="0"/>
              <w:divBdr>
                <w:top w:val="none" w:sz="0" w:space="0" w:color="auto"/>
                <w:left w:val="none" w:sz="0" w:space="0" w:color="auto"/>
                <w:bottom w:val="none" w:sz="0" w:space="0" w:color="auto"/>
                <w:right w:val="none" w:sz="0" w:space="0" w:color="auto"/>
              </w:divBdr>
            </w:div>
          </w:divsChild>
        </w:div>
        <w:div w:id="1800610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786</Words>
  <Characters>4486</Characters>
  <Application>Microsoft Office Word</Application>
  <DocSecurity>0</DocSecurity>
  <Lines>37</Lines>
  <Paragraphs>10</Paragraphs>
  <ScaleCrop>false</ScaleCrop>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李沙沙</dc:creator>
  <cp:keywords/>
  <dc:description/>
  <cp:lastModifiedBy>李沙沙</cp:lastModifiedBy>
  <cp:revision>4</cp:revision>
  <dcterms:created xsi:type="dcterms:W3CDTF">2024-04-24T00:20:00Z</dcterms:created>
  <dcterms:modified xsi:type="dcterms:W3CDTF">2024-04-24T00:29:00Z</dcterms:modified>
</cp:coreProperties>
</file>